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15A56A15" w:rsidR="00CD4C7B" w:rsidRPr="00B266B0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EE022B">
        <w:rPr>
          <w:noProof w:val="0"/>
          <w:sz w:val="24"/>
          <w:szCs w:val="24"/>
        </w:rPr>
        <w:t>7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6E79BE" w:rsidRPr="006E79BE">
        <w:rPr>
          <w:bCs/>
          <w:noProof w:val="0"/>
          <w:sz w:val="24"/>
          <w:szCs w:val="24"/>
        </w:rPr>
        <w:t>R3-224978</w:t>
      </w:r>
    </w:p>
    <w:p w14:paraId="1822B173" w14:textId="1B9A9B8E" w:rsidR="00CD4C7B" w:rsidRPr="00B1063A" w:rsidRDefault="00797D4B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EE022B">
        <w:rPr>
          <w:rFonts w:cs="Arial"/>
          <w:sz w:val="24"/>
          <w:szCs w:val="24"/>
        </w:rPr>
        <w:t>15</w:t>
      </w:r>
      <w:r w:rsidR="006B36A5" w:rsidRPr="006B36A5">
        <w:rPr>
          <w:rFonts w:cs="Arial"/>
          <w:sz w:val="24"/>
          <w:szCs w:val="24"/>
        </w:rPr>
        <w:t xml:space="preserve"> – </w:t>
      </w:r>
      <w:r w:rsidR="00EE022B">
        <w:rPr>
          <w:rFonts w:cs="Arial"/>
          <w:sz w:val="24"/>
          <w:szCs w:val="24"/>
        </w:rPr>
        <w:t>24 Aug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3B0EF5F6" w14:textId="0CD1FED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42065">
        <w:rPr>
          <w:rFonts w:cs="Arial"/>
          <w:b/>
          <w:bCs/>
          <w:sz w:val="24"/>
          <w:lang w:val="en-US" w:eastAsia="ja-JP"/>
        </w:rPr>
        <w:t>1</w:t>
      </w:r>
      <w:r w:rsidR="0033257D">
        <w:rPr>
          <w:rFonts w:cs="Arial"/>
          <w:b/>
          <w:bCs/>
          <w:sz w:val="24"/>
          <w:lang w:val="en-US" w:eastAsia="ja-JP"/>
        </w:rPr>
        <w:t>2</w:t>
      </w:r>
      <w:r w:rsidR="00342065">
        <w:rPr>
          <w:rFonts w:cs="Arial"/>
          <w:b/>
          <w:bCs/>
          <w:sz w:val="24"/>
          <w:lang w:val="en-US" w:eastAsia="ja-JP"/>
        </w:rPr>
        <w:t>.</w:t>
      </w:r>
      <w:r w:rsidR="0033257D">
        <w:rPr>
          <w:rFonts w:cs="Arial"/>
          <w:b/>
          <w:bCs/>
          <w:sz w:val="24"/>
          <w:lang w:val="en-US" w:eastAsia="ja-JP"/>
        </w:rPr>
        <w:t>2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5432887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B6FA5">
        <w:rPr>
          <w:rFonts w:ascii="Arial" w:hAnsi="Arial" w:cs="Arial"/>
          <w:b/>
          <w:bCs/>
          <w:sz w:val="24"/>
        </w:rPr>
        <w:t>Data</w:t>
      </w:r>
      <w:r w:rsidR="003D5829">
        <w:rPr>
          <w:rFonts w:ascii="Arial" w:hAnsi="Arial" w:cs="Arial"/>
          <w:b/>
          <w:bCs/>
          <w:sz w:val="24"/>
        </w:rPr>
        <w:t xml:space="preserve"> collection via MDT in split architecture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3D34D90B" w14:textId="77777777" w:rsidR="00D90D48" w:rsidRDefault="00D90D48" w:rsidP="003B5FD6">
      <w:pPr>
        <w:spacing w:after="60"/>
        <w:rPr>
          <w:lang w:val="en-US"/>
        </w:rPr>
      </w:pPr>
    </w:p>
    <w:p w14:paraId="015A2CA5" w14:textId="5C31DD2B" w:rsidR="00073043" w:rsidRDefault="00073043" w:rsidP="00073043">
      <w:pPr>
        <w:spacing w:after="0"/>
      </w:pPr>
      <w:r>
        <w:t>The</w:t>
      </w:r>
      <w:r w:rsidR="00A8557C">
        <w:t xml:space="preserve"> R18 </w:t>
      </w:r>
      <w:r w:rsidR="003D5829">
        <w:t>AI RAN</w:t>
      </w:r>
      <w:r>
        <w:t xml:space="preserve"> WID introduced the following objectives in the core part: </w:t>
      </w:r>
    </w:p>
    <w:p w14:paraId="7B6F581B" w14:textId="77777777" w:rsidR="00073043" w:rsidRDefault="00073043" w:rsidP="00073043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73043" w14:paraId="583BA9F6" w14:textId="77777777" w:rsidTr="00C95C04">
        <w:tc>
          <w:tcPr>
            <w:tcW w:w="9857" w:type="dxa"/>
            <w:shd w:val="clear" w:color="auto" w:fill="auto"/>
          </w:tcPr>
          <w:p w14:paraId="37371C0B" w14:textId="2272FE88" w:rsidR="00073043" w:rsidRPr="003D5829" w:rsidRDefault="003D5829" w:rsidP="003D5829">
            <w:pPr>
              <w:pStyle w:val="ab"/>
              <w:widowControl w:val="0"/>
              <w:numPr>
                <w:ilvl w:val="0"/>
                <w:numId w:val="12"/>
              </w:numPr>
              <w:autoSpaceDN w:val="0"/>
              <w:jc w:val="both"/>
              <w:rPr>
                <w:rFonts w:ascii="Calibri" w:eastAsia="等线" w:hAnsi="Calibri"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Calibri" w:eastAsia="等线" w:hAnsi="Calibri" w:cs="Calibri"/>
                <w:i/>
                <w:color w:val="FF0000"/>
                <w:sz w:val="16"/>
                <w:szCs w:val="16"/>
                <w:lang w:eastAsia="en-US"/>
              </w:rPr>
              <w:t>Specify data collection enhancements and signaling support within existing NG-RAN interfaces and architecture (including non-split architecture and split architecture) for AI/ML-based Network Energy Saving, Load Balancing and Mobility Optimization. (RAN3)</w:t>
            </w:r>
          </w:p>
        </w:tc>
      </w:tr>
    </w:tbl>
    <w:p w14:paraId="1350E9C0" w14:textId="0BCBD4A4" w:rsidR="00B6745D" w:rsidRDefault="00B6745D" w:rsidP="00CD4C7B"/>
    <w:p w14:paraId="43715AC3" w14:textId="4921DF2E" w:rsidR="003D5829" w:rsidRDefault="003D5829" w:rsidP="003D5829">
      <w:pPr>
        <w:tabs>
          <w:tab w:val="left" w:pos="1985"/>
        </w:tabs>
        <w:jc w:val="both"/>
      </w:pPr>
      <w:r>
        <w:t xml:space="preserve">In TR 37.817, </w:t>
      </w:r>
      <w:r>
        <w:rPr>
          <w:rFonts w:hint="eastAsia"/>
          <w:lang w:eastAsia="zh-CN"/>
        </w:rPr>
        <w:t>i</w:t>
      </w:r>
      <w:r>
        <w:t>t states that “</w:t>
      </w:r>
      <w:r w:rsidRPr="00B422C7">
        <w:rPr>
          <w:rFonts w:cs="Arial"/>
        </w:rPr>
        <w:t>RAN3 shall reuse the existing framework (including MDT and RRM measurements)</w:t>
      </w:r>
      <w:r>
        <w:t>” and “</w:t>
      </w:r>
      <w:r w:rsidRPr="00DD240D">
        <w:rPr>
          <w:rFonts w:cs="Calibri"/>
          <w:color w:val="000000"/>
        </w:rPr>
        <w:t>MDT procedure enhancements should be discussed during the normative phase</w:t>
      </w:r>
      <w:r>
        <w:rPr>
          <w:rFonts w:cs="Calibri"/>
          <w:color w:val="000000"/>
        </w:rPr>
        <w:t>.</w:t>
      </w:r>
      <w:r>
        <w:t xml:space="preserve">”, which means the MDT measurement can be used for AI model training/inference/evaluation. </w:t>
      </w:r>
    </w:p>
    <w:p w14:paraId="337BCE83" w14:textId="50D875CE" w:rsidR="003D5829" w:rsidRPr="003D5829" w:rsidRDefault="003D5829" w:rsidP="003D5829">
      <w:pPr>
        <w:tabs>
          <w:tab w:val="left" w:pos="1985"/>
        </w:tabs>
        <w:jc w:val="both"/>
        <w:rPr>
          <w:rFonts w:cs="Arial"/>
        </w:rPr>
      </w:pPr>
      <w:r>
        <w:rPr>
          <w:rFonts w:cs="Arial"/>
        </w:rPr>
        <w:t>As indicated in the objective, the split architecture should be considered in R18</w:t>
      </w:r>
      <w:r w:rsidR="001537D2">
        <w:rPr>
          <w:rFonts w:cs="Arial"/>
        </w:rPr>
        <w:t xml:space="preserve">, </w:t>
      </w:r>
      <w:r w:rsidR="009B6FA5">
        <w:rPr>
          <w:rFonts w:cs="Arial"/>
        </w:rPr>
        <w:t>while</w:t>
      </w:r>
      <w:r w:rsidR="001537D2">
        <w:rPr>
          <w:rFonts w:cs="Arial"/>
        </w:rPr>
        <w:t xml:space="preserve"> we find there may be an issue for m-based MDT in split architecture to support data collection for AI purposes.</w:t>
      </w:r>
    </w:p>
    <w:p w14:paraId="25A956D2" w14:textId="2CB73947" w:rsidR="00A8557C" w:rsidRPr="00B6745D" w:rsidRDefault="00A8557C" w:rsidP="00CD4C7B">
      <w:r>
        <w:t xml:space="preserve">In this contribution, </w:t>
      </w:r>
      <w:r w:rsidR="00DD41D3">
        <w:t xml:space="preserve">we’d like to </w:t>
      </w:r>
      <w:r w:rsidR="00882197">
        <w:t xml:space="preserve">discuss </w:t>
      </w:r>
      <w:r w:rsidR="003D5829">
        <w:t xml:space="preserve">the issue and possible solutions that </w:t>
      </w:r>
      <w:r w:rsidR="001537D2">
        <w:t>data collection via</w:t>
      </w:r>
      <w:r w:rsidR="003D5829">
        <w:t xml:space="preserve"> MDT for AI purpose</w:t>
      </w:r>
      <w:r w:rsidR="001537D2">
        <w:t>s</w:t>
      </w:r>
      <w:r w:rsidR="003D5829">
        <w:t xml:space="preserve"> in split architecture.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70237E48" w14:textId="2FA785EB" w:rsidR="001537D2" w:rsidRDefault="001537D2" w:rsidP="004E6C01">
      <w:pPr>
        <w:rPr>
          <w:szCs w:val="21"/>
        </w:rPr>
      </w:pPr>
      <w:bookmarkStart w:id="2" w:name="_Hlk109747344"/>
      <w:r>
        <w:rPr>
          <w:szCs w:val="21"/>
        </w:rPr>
        <w:t>As specified in TS 32.422, “</w:t>
      </w:r>
      <w:r w:rsidRPr="001537D2">
        <w:rPr>
          <w:szCs w:val="21"/>
        </w:rPr>
        <w:t xml:space="preserve">In the case of split RAN architecture, the management system may send the MDT activation directly to </w:t>
      </w:r>
      <w:proofErr w:type="spellStart"/>
      <w:r w:rsidRPr="001537D2">
        <w:rPr>
          <w:szCs w:val="21"/>
        </w:rPr>
        <w:t>gNB</w:t>
      </w:r>
      <w:proofErr w:type="spellEnd"/>
      <w:r w:rsidRPr="001537D2">
        <w:rPr>
          <w:szCs w:val="21"/>
        </w:rPr>
        <w:t xml:space="preserve">-CU-CP, </w:t>
      </w:r>
      <w:proofErr w:type="spellStart"/>
      <w:r w:rsidRPr="001537D2">
        <w:rPr>
          <w:szCs w:val="21"/>
        </w:rPr>
        <w:t>gNB</w:t>
      </w:r>
      <w:proofErr w:type="spellEnd"/>
      <w:r w:rsidRPr="001537D2">
        <w:rPr>
          <w:szCs w:val="21"/>
        </w:rPr>
        <w:t xml:space="preserve">-DU, or </w:t>
      </w:r>
      <w:proofErr w:type="spellStart"/>
      <w:r w:rsidRPr="001537D2">
        <w:rPr>
          <w:szCs w:val="21"/>
        </w:rPr>
        <w:t>gNB</w:t>
      </w:r>
      <w:proofErr w:type="spellEnd"/>
      <w:r w:rsidRPr="001537D2">
        <w:rPr>
          <w:szCs w:val="21"/>
        </w:rPr>
        <w:t>-CU-UP.</w:t>
      </w:r>
      <w:r>
        <w:rPr>
          <w:szCs w:val="21"/>
        </w:rPr>
        <w:t xml:space="preserve">” If the EM send the MDT directly to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 xml:space="preserve">-DU or </w:t>
      </w:r>
      <w:proofErr w:type="spellStart"/>
      <w:r w:rsidRPr="001537D2">
        <w:rPr>
          <w:szCs w:val="21"/>
        </w:rPr>
        <w:t>gNB</w:t>
      </w:r>
      <w:proofErr w:type="spellEnd"/>
      <w:r w:rsidRPr="001537D2">
        <w:rPr>
          <w:szCs w:val="21"/>
        </w:rPr>
        <w:t>-CU-UP</w:t>
      </w:r>
      <w:r>
        <w:rPr>
          <w:szCs w:val="21"/>
        </w:rPr>
        <w:t>, and the</w:t>
      </w:r>
      <w:r w:rsidRPr="001537D2">
        <w:rPr>
          <w:szCs w:val="21"/>
        </w:rPr>
        <w:t xml:space="preserve">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 xml:space="preserve">-DU or </w:t>
      </w:r>
      <w:proofErr w:type="spellStart"/>
      <w:r w:rsidRPr="001537D2">
        <w:rPr>
          <w:szCs w:val="21"/>
        </w:rPr>
        <w:t>gNB</w:t>
      </w:r>
      <w:proofErr w:type="spellEnd"/>
      <w:r w:rsidRPr="001537D2">
        <w:rPr>
          <w:szCs w:val="21"/>
        </w:rPr>
        <w:t>-CU-UP</w:t>
      </w:r>
      <w:r>
        <w:rPr>
          <w:szCs w:val="21"/>
        </w:rPr>
        <w:t xml:space="preserve"> can perform the UE selection and assign TRSR</w:t>
      </w:r>
      <w:r w:rsidR="00B43212">
        <w:rPr>
          <w:szCs w:val="21"/>
        </w:rPr>
        <w:t xml:space="preserve"> without notifying </w:t>
      </w:r>
      <w:proofErr w:type="spellStart"/>
      <w:r w:rsidR="00B43212" w:rsidRPr="001537D2">
        <w:rPr>
          <w:szCs w:val="21"/>
        </w:rPr>
        <w:t>gNB</w:t>
      </w:r>
      <w:proofErr w:type="spellEnd"/>
      <w:r w:rsidR="00B43212" w:rsidRPr="001537D2">
        <w:rPr>
          <w:szCs w:val="21"/>
        </w:rPr>
        <w:t>-CU-CP</w:t>
      </w:r>
      <w:r>
        <w:rPr>
          <w:szCs w:val="21"/>
        </w:rPr>
        <w:t xml:space="preserve">, </w:t>
      </w:r>
      <w:r w:rsidR="00B43212">
        <w:rPr>
          <w:szCs w:val="21"/>
        </w:rPr>
        <w:t>after finish MDT measurements</w:t>
      </w:r>
      <w:r>
        <w:rPr>
          <w:szCs w:val="21"/>
        </w:rPr>
        <w:t>, the</w:t>
      </w:r>
      <w:r w:rsidRPr="001537D2">
        <w:rPr>
          <w:szCs w:val="21"/>
        </w:rPr>
        <w:t xml:space="preserve">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 xml:space="preserve">-DU or </w:t>
      </w:r>
      <w:proofErr w:type="spellStart"/>
      <w:r w:rsidRPr="001537D2">
        <w:rPr>
          <w:szCs w:val="21"/>
        </w:rPr>
        <w:t>gNB</w:t>
      </w:r>
      <w:proofErr w:type="spellEnd"/>
      <w:r w:rsidRPr="001537D2">
        <w:rPr>
          <w:szCs w:val="21"/>
        </w:rPr>
        <w:t>-CU-UP</w:t>
      </w:r>
      <w:r>
        <w:rPr>
          <w:szCs w:val="21"/>
        </w:rPr>
        <w:t xml:space="preserve"> will sent the MDT report directly to TCE</w:t>
      </w:r>
      <w:r w:rsidR="00B43212">
        <w:rPr>
          <w:szCs w:val="21"/>
        </w:rPr>
        <w:t xml:space="preserve"> without </w:t>
      </w:r>
      <w:proofErr w:type="spellStart"/>
      <w:r w:rsidR="00B43212" w:rsidRPr="001537D2">
        <w:rPr>
          <w:szCs w:val="21"/>
        </w:rPr>
        <w:t>gNB</w:t>
      </w:r>
      <w:proofErr w:type="spellEnd"/>
      <w:r w:rsidR="00B43212" w:rsidRPr="001537D2">
        <w:rPr>
          <w:szCs w:val="21"/>
        </w:rPr>
        <w:t>-CU-CP</w:t>
      </w:r>
      <w:r w:rsidR="00B43212">
        <w:rPr>
          <w:szCs w:val="21"/>
        </w:rPr>
        <w:t xml:space="preserve"> involvement</w:t>
      </w:r>
      <w:r>
        <w:rPr>
          <w:szCs w:val="21"/>
        </w:rPr>
        <w:t xml:space="preserve">. The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 xml:space="preserve">-CU-CP is not aware of the </w:t>
      </w:r>
      <w:r w:rsidR="009B6FA5">
        <w:rPr>
          <w:szCs w:val="21"/>
        </w:rPr>
        <w:t xml:space="preserve">whole </w:t>
      </w:r>
      <w:r w:rsidR="00B43212">
        <w:rPr>
          <w:szCs w:val="21"/>
        </w:rPr>
        <w:t>measurement and reporting process</w:t>
      </w:r>
      <w:r>
        <w:rPr>
          <w:szCs w:val="21"/>
        </w:rPr>
        <w:t xml:space="preserve"> in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>-DU</w:t>
      </w:r>
      <w:r w:rsidRPr="001537D2">
        <w:rPr>
          <w:szCs w:val="21"/>
        </w:rPr>
        <w:t xml:space="preserve"> </w:t>
      </w:r>
      <w:r>
        <w:rPr>
          <w:szCs w:val="21"/>
        </w:rPr>
        <w:t xml:space="preserve">and </w:t>
      </w:r>
      <w:proofErr w:type="spellStart"/>
      <w:r w:rsidRPr="001537D2">
        <w:rPr>
          <w:szCs w:val="21"/>
        </w:rPr>
        <w:t>gNB</w:t>
      </w:r>
      <w:proofErr w:type="spellEnd"/>
      <w:r w:rsidRPr="001537D2">
        <w:rPr>
          <w:szCs w:val="21"/>
        </w:rPr>
        <w:t>-CU-UP</w:t>
      </w:r>
      <w:r>
        <w:rPr>
          <w:szCs w:val="21"/>
        </w:rPr>
        <w:t xml:space="preserve">. The following </w:t>
      </w:r>
      <w:r w:rsidR="00C26AB2">
        <w:rPr>
          <w:szCs w:val="21"/>
        </w:rPr>
        <w:t>Figure 1</w:t>
      </w:r>
      <w:r>
        <w:rPr>
          <w:szCs w:val="21"/>
        </w:rPr>
        <w:t xml:space="preserve"> is an example for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 xml:space="preserve">-DU when the EM directly sent the MDT activation to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>-DU.</w:t>
      </w:r>
      <w:bookmarkStart w:id="3" w:name="_GoBack"/>
      <w:bookmarkEnd w:id="3"/>
    </w:p>
    <w:p w14:paraId="1BD8F182" w14:textId="77777777" w:rsidR="001537D2" w:rsidRDefault="001537D2" w:rsidP="001537D2">
      <w:pPr>
        <w:keepNext/>
        <w:jc w:val="center"/>
      </w:pPr>
      <w:r>
        <w:object w:dxaOrig="12891" w:dyaOrig="5350" w14:anchorId="00E0C5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4pt;height:175.7pt" o:ole="">
            <v:imagedata r:id="rId8" o:title=""/>
          </v:shape>
          <o:OLEObject Type="Embed" ProgID="Visio.Drawing.15" ShapeID="_x0000_i1025" DrawAspect="Content" ObjectID="_1721568007" r:id="rId9"/>
        </w:object>
      </w:r>
    </w:p>
    <w:p w14:paraId="70BE080B" w14:textId="24B12DF8" w:rsidR="001537D2" w:rsidRPr="001537D2" w:rsidRDefault="001537D2" w:rsidP="001537D2">
      <w:pPr>
        <w:pStyle w:val="ac"/>
        <w:jc w:val="center"/>
        <w:rPr>
          <w:b/>
          <w:i w:val="0"/>
          <w:szCs w:val="21"/>
        </w:rPr>
      </w:pPr>
      <w:r w:rsidRPr="001537D2">
        <w:rPr>
          <w:b/>
          <w:i w:val="0"/>
        </w:rPr>
        <w:t xml:space="preserve">Figure </w:t>
      </w:r>
      <w:r w:rsidRPr="001537D2">
        <w:rPr>
          <w:b/>
          <w:i w:val="0"/>
        </w:rPr>
        <w:fldChar w:fldCharType="begin"/>
      </w:r>
      <w:r w:rsidRPr="001537D2">
        <w:rPr>
          <w:b/>
          <w:i w:val="0"/>
        </w:rPr>
        <w:instrText xml:space="preserve"> SEQ Figure \* ARABIC </w:instrText>
      </w:r>
      <w:r w:rsidRPr="001537D2">
        <w:rPr>
          <w:b/>
          <w:i w:val="0"/>
        </w:rPr>
        <w:fldChar w:fldCharType="separate"/>
      </w:r>
      <w:r w:rsidRPr="001537D2">
        <w:rPr>
          <w:b/>
          <w:i w:val="0"/>
          <w:noProof/>
        </w:rPr>
        <w:t>1</w:t>
      </w:r>
      <w:r w:rsidRPr="001537D2">
        <w:rPr>
          <w:b/>
          <w:i w:val="0"/>
        </w:rPr>
        <w:fldChar w:fldCharType="end"/>
      </w:r>
      <w:r w:rsidR="00C26AB2">
        <w:rPr>
          <w:b/>
          <w:i w:val="0"/>
        </w:rPr>
        <w:t xml:space="preserve"> direct</w:t>
      </w:r>
      <w:r>
        <w:rPr>
          <w:b/>
          <w:i w:val="0"/>
        </w:rPr>
        <w:t xml:space="preserve"> </w:t>
      </w:r>
      <w:r w:rsidR="00C26AB2">
        <w:rPr>
          <w:b/>
          <w:i w:val="0"/>
        </w:rPr>
        <w:t xml:space="preserve">m-based MDT activation in </w:t>
      </w:r>
      <w:proofErr w:type="spellStart"/>
      <w:r w:rsidR="00C26AB2">
        <w:rPr>
          <w:b/>
          <w:i w:val="0"/>
        </w:rPr>
        <w:t>gNB</w:t>
      </w:r>
      <w:proofErr w:type="spellEnd"/>
      <w:r w:rsidR="00C26AB2">
        <w:rPr>
          <w:b/>
          <w:i w:val="0"/>
        </w:rPr>
        <w:t>-DU</w:t>
      </w:r>
    </w:p>
    <w:p w14:paraId="67036A5C" w14:textId="595FAD26" w:rsidR="001537D2" w:rsidRDefault="001537D2" w:rsidP="004E6C01">
      <w:pPr>
        <w:rPr>
          <w:szCs w:val="21"/>
        </w:rPr>
      </w:pPr>
    </w:p>
    <w:p w14:paraId="42F2AB1C" w14:textId="0DBD7D81" w:rsidR="00EF414A" w:rsidRDefault="00BF768D" w:rsidP="004E6C01">
      <w:pPr>
        <w:rPr>
          <w:b/>
          <w:szCs w:val="21"/>
        </w:rPr>
      </w:pPr>
      <w:r w:rsidRPr="00BF768D">
        <w:rPr>
          <w:b/>
          <w:szCs w:val="21"/>
        </w:rPr>
        <w:t>Observation</w:t>
      </w:r>
      <w:r w:rsidR="00DD41D3">
        <w:rPr>
          <w:b/>
          <w:szCs w:val="21"/>
        </w:rPr>
        <w:t xml:space="preserve"> 1</w:t>
      </w:r>
      <w:r w:rsidRPr="00BF768D">
        <w:rPr>
          <w:b/>
          <w:szCs w:val="21"/>
        </w:rPr>
        <w:t xml:space="preserve">, </w:t>
      </w:r>
      <w:r w:rsidR="00C26AB2">
        <w:rPr>
          <w:b/>
          <w:szCs w:val="21"/>
        </w:rPr>
        <w:t xml:space="preserve">EM can directly send the m-based MDT activation to </w:t>
      </w:r>
      <w:proofErr w:type="spellStart"/>
      <w:r w:rsidR="00C26AB2">
        <w:rPr>
          <w:b/>
          <w:szCs w:val="21"/>
        </w:rPr>
        <w:t>gNB</w:t>
      </w:r>
      <w:proofErr w:type="spellEnd"/>
      <w:r w:rsidR="00C26AB2">
        <w:rPr>
          <w:b/>
          <w:szCs w:val="21"/>
        </w:rPr>
        <w:t xml:space="preserve">-DU or </w:t>
      </w:r>
      <w:proofErr w:type="spellStart"/>
      <w:r w:rsidR="00C26AB2" w:rsidRPr="00C26AB2">
        <w:rPr>
          <w:b/>
          <w:szCs w:val="21"/>
        </w:rPr>
        <w:t>gNB</w:t>
      </w:r>
      <w:proofErr w:type="spellEnd"/>
      <w:r w:rsidR="00C26AB2" w:rsidRPr="00C26AB2">
        <w:rPr>
          <w:b/>
          <w:szCs w:val="21"/>
        </w:rPr>
        <w:t>-CU-UP</w:t>
      </w:r>
      <w:r w:rsidR="00B43212" w:rsidRPr="00B43212">
        <w:rPr>
          <w:b/>
          <w:szCs w:val="21"/>
        </w:rPr>
        <w:t xml:space="preserve"> </w:t>
      </w:r>
      <w:r w:rsidR="00B43212">
        <w:rPr>
          <w:b/>
          <w:szCs w:val="21"/>
        </w:rPr>
        <w:t xml:space="preserve">without </w:t>
      </w:r>
      <w:proofErr w:type="spellStart"/>
      <w:r w:rsidR="00B43212">
        <w:rPr>
          <w:b/>
          <w:szCs w:val="21"/>
        </w:rPr>
        <w:t>gNB</w:t>
      </w:r>
      <w:proofErr w:type="spellEnd"/>
      <w:r w:rsidR="00B43212">
        <w:rPr>
          <w:b/>
          <w:szCs w:val="21"/>
        </w:rPr>
        <w:t>-CU-CP involvement</w:t>
      </w:r>
      <w:r w:rsidR="00C26AB2">
        <w:rPr>
          <w:b/>
          <w:szCs w:val="21"/>
        </w:rPr>
        <w:t xml:space="preserve">, </w:t>
      </w:r>
      <w:r w:rsidR="00B43212">
        <w:rPr>
          <w:b/>
          <w:szCs w:val="21"/>
        </w:rPr>
        <w:t xml:space="preserve">and the </w:t>
      </w:r>
      <w:proofErr w:type="spellStart"/>
      <w:r w:rsidR="00B43212">
        <w:rPr>
          <w:b/>
          <w:szCs w:val="21"/>
        </w:rPr>
        <w:t>gNB</w:t>
      </w:r>
      <w:proofErr w:type="spellEnd"/>
      <w:r w:rsidR="00B43212">
        <w:rPr>
          <w:b/>
          <w:szCs w:val="21"/>
        </w:rPr>
        <w:t xml:space="preserve">-DU or </w:t>
      </w:r>
      <w:proofErr w:type="spellStart"/>
      <w:r w:rsidR="00B43212" w:rsidRPr="00C26AB2">
        <w:rPr>
          <w:b/>
          <w:szCs w:val="21"/>
        </w:rPr>
        <w:t>gNB</w:t>
      </w:r>
      <w:proofErr w:type="spellEnd"/>
      <w:r w:rsidR="00B43212" w:rsidRPr="00C26AB2">
        <w:rPr>
          <w:b/>
          <w:szCs w:val="21"/>
        </w:rPr>
        <w:t>-CU-UP</w:t>
      </w:r>
      <w:r w:rsidR="00B43212">
        <w:rPr>
          <w:b/>
          <w:szCs w:val="21"/>
        </w:rPr>
        <w:t xml:space="preserve"> can send the MDT report to TCE without </w:t>
      </w:r>
      <w:proofErr w:type="spellStart"/>
      <w:r w:rsidR="00C26AB2">
        <w:rPr>
          <w:b/>
          <w:szCs w:val="21"/>
        </w:rPr>
        <w:t>gNB</w:t>
      </w:r>
      <w:proofErr w:type="spellEnd"/>
      <w:r w:rsidR="00C26AB2">
        <w:rPr>
          <w:b/>
          <w:szCs w:val="21"/>
        </w:rPr>
        <w:t>-CU-CP</w:t>
      </w:r>
      <w:r w:rsidR="00B43212">
        <w:rPr>
          <w:b/>
          <w:szCs w:val="21"/>
        </w:rPr>
        <w:t xml:space="preserve"> involvement</w:t>
      </w:r>
      <w:r w:rsidR="00C26AB2">
        <w:rPr>
          <w:b/>
          <w:szCs w:val="21"/>
        </w:rPr>
        <w:t>.</w:t>
      </w:r>
    </w:p>
    <w:p w14:paraId="0277D236" w14:textId="1F4303BA" w:rsidR="00EF414A" w:rsidRPr="00C26AB2" w:rsidRDefault="00C26AB2" w:rsidP="004E6C01">
      <w:pPr>
        <w:rPr>
          <w:b/>
          <w:szCs w:val="21"/>
        </w:rPr>
      </w:pPr>
      <w:r>
        <w:rPr>
          <w:b/>
          <w:szCs w:val="21"/>
        </w:rPr>
        <w:t xml:space="preserve">Observation 2, the AI function in </w:t>
      </w:r>
      <w:proofErr w:type="spellStart"/>
      <w:r>
        <w:rPr>
          <w:b/>
          <w:szCs w:val="21"/>
        </w:rPr>
        <w:t>gNB</w:t>
      </w:r>
      <w:proofErr w:type="spellEnd"/>
      <w:r>
        <w:rPr>
          <w:b/>
          <w:szCs w:val="21"/>
        </w:rPr>
        <w:t xml:space="preserve">-CU-CP cannot </w:t>
      </w:r>
      <w:r w:rsidR="00B43212">
        <w:rPr>
          <w:b/>
          <w:szCs w:val="21"/>
        </w:rPr>
        <w:t>collect</w:t>
      </w:r>
      <w:r>
        <w:rPr>
          <w:b/>
          <w:szCs w:val="21"/>
        </w:rPr>
        <w:t xml:space="preserve"> the MDT measurements </w:t>
      </w:r>
      <w:r w:rsidR="00B43212">
        <w:rPr>
          <w:b/>
          <w:szCs w:val="21"/>
        </w:rPr>
        <w:t xml:space="preserve">in </w:t>
      </w:r>
      <w:proofErr w:type="spellStart"/>
      <w:r w:rsidR="00B43212">
        <w:rPr>
          <w:b/>
          <w:szCs w:val="21"/>
        </w:rPr>
        <w:t>gNB</w:t>
      </w:r>
      <w:proofErr w:type="spellEnd"/>
      <w:r w:rsidR="00B43212">
        <w:rPr>
          <w:b/>
          <w:szCs w:val="21"/>
        </w:rPr>
        <w:t xml:space="preserve">-DU or </w:t>
      </w:r>
      <w:proofErr w:type="spellStart"/>
      <w:r w:rsidR="00B43212" w:rsidRPr="00C26AB2">
        <w:rPr>
          <w:b/>
          <w:szCs w:val="21"/>
        </w:rPr>
        <w:t>gNB</w:t>
      </w:r>
      <w:proofErr w:type="spellEnd"/>
      <w:r w:rsidR="00B43212" w:rsidRPr="00C26AB2">
        <w:rPr>
          <w:b/>
          <w:szCs w:val="21"/>
        </w:rPr>
        <w:t>-CU-UP</w:t>
      </w:r>
      <w:r w:rsidR="00B43212">
        <w:rPr>
          <w:b/>
          <w:szCs w:val="21"/>
        </w:rPr>
        <w:t xml:space="preserve"> </w:t>
      </w:r>
      <w:r>
        <w:rPr>
          <w:b/>
          <w:szCs w:val="21"/>
        </w:rPr>
        <w:t>that is directly activated</w:t>
      </w:r>
      <w:r w:rsidR="00B43212">
        <w:rPr>
          <w:b/>
          <w:szCs w:val="21"/>
        </w:rPr>
        <w:t xml:space="preserve"> by EM</w:t>
      </w:r>
      <w:r>
        <w:rPr>
          <w:b/>
          <w:szCs w:val="21"/>
        </w:rPr>
        <w:t>.</w:t>
      </w:r>
    </w:p>
    <w:p w14:paraId="6AD1E7AE" w14:textId="364B5F21" w:rsidR="00EF414A" w:rsidRDefault="00C26AB2" w:rsidP="004E6C01">
      <w:pPr>
        <w:rPr>
          <w:szCs w:val="21"/>
        </w:rPr>
      </w:pPr>
      <w:r>
        <w:rPr>
          <w:szCs w:val="21"/>
        </w:rPr>
        <w:t>To solve the issue, two possible options can be considered.</w:t>
      </w:r>
    </w:p>
    <w:p w14:paraId="774319F1" w14:textId="32531E5E" w:rsidR="00EF414A" w:rsidRDefault="00C26AB2" w:rsidP="00EF414A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Option1, </w:t>
      </w:r>
      <w:proofErr w:type="spellStart"/>
      <w:r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-CU-CP indicate the </w:t>
      </w:r>
      <w:proofErr w:type="spellStart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-DU or </w:t>
      </w:r>
      <w:proofErr w:type="spellStart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-CU-UP</w:t>
      </w:r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it has AI function or it want </w:t>
      </w:r>
      <w:r w:rsidR="000D7445">
        <w:rPr>
          <w:rFonts w:ascii="Times New Roman" w:hAnsi="Times New Roman"/>
          <w:kern w:val="0"/>
          <w:sz w:val="20"/>
          <w:szCs w:val="21"/>
          <w:lang w:val="en-GB" w:eastAsia="en-US"/>
        </w:rPr>
        <w:t>to collect</w:t>
      </w:r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</w:t>
      </w:r>
      <w:r w:rsidR="000D7445">
        <w:rPr>
          <w:rFonts w:ascii="Times New Roman" w:hAnsi="Times New Roman"/>
          <w:kern w:val="0"/>
          <w:sz w:val="20"/>
          <w:szCs w:val="21"/>
          <w:lang w:val="en-GB" w:eastAsia="en-US"/>
        </w:rPr>
        <w:t>data</w:t>
      </w:r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for AI purposes, once the </w:t>
      </w:r>
      <w:proofErr w:type="spellStart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-DU or </w:t>
      </w:r>
      <w:proofErr w:type="spellStart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-CU-UP</w:t>
      </w:r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is configured MDT measurements directly by EM, it will notify the </w:t>
      </w:r>
      <w:proofErr w:type="spellStart"/>
      <w:r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-CU-CP the </w:t>
      </w:r>
      <w:r w:rsidR="009B6FA5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MDT </w:t>
      </w:r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configuration, so that the </w:t>
      </w:r>
      <w:proofErr w:type="spellStart"/>
      <w:r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-CU-CP can collect the measurements in </w:t>
      </w:r>
      <w:proofErr w:type="spellStart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-DU or </w:t>
      </w:r>
      <w:proofErr w:type="spellStart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-CU-UP</w:t>
      </w:r>
    </w:p>
    <w:p w14:paraId="3937AF40" w14:textId="1B0CC9D5" w:rsidR="00EF414A" w:rsidRPr="00C26AB2" w:rsidRDefault="00C26AB2" w:rsidP="00C26AB2">
      <w:pPr>
        <w:pStyle w:val="a9"/>
        <w:numPr>
          <w:ilvl w:val="0"/>
          <w:numId w:val="14"/>
        </w:numPr>
        <w:spacing w:after="120"/>
        <w:ind w:leftChars="0" w:left="714" w:hanging="357"/>
        <w:rPr>
          <w:rFonts w:ascii="Times New Roman" w:hAnsi="Times New Roman"/>
          <w:kern w:val="0"/>
          <w:sz w:val="20"/>
          <w:szCs w:val="21"/>
          <w:lang w:val="en-GB" w:eastAsia="en-US"/>
        </w:rPr>
      </w:pPr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Option 2, specify that the </w:t>
      </w:r>
      <w:proofErr w:type="spellStart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-DU or </w:t>
      </w:r>
      <w:proofErr w:type="spellStart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 w:rsidRPr="00C26AB2">
        <w:rPr>
          <w:rFonts w:ascii="Times New Roman" w:hAnsi="Times New Roman"/>
          <w:kern w:val="0"/>
          <w:sz w:val="20"/>
          <w:szCs w:val="21"/>
          <w:lang w:val="en-GB" w:eastAsia="en-US"/>
        </w:rPr>
        <w:t>-CU-UP</w:t>
      </w:r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 should notify the </w:t>
      </w:r>
      <w:proofErr w:type="spellStart"/>
      <w:r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-CU-CP </w:t>
      </w:r>
      <w:r w:rsidR="009B6FA5">
        <w:rPr>
          <w:rFonts w:ascii="Times New Roman" w:hAnsi="Times New Roman"/>
          <w:kern w:val="0"/>
          <w:sz w:val="20"/>
          <w:szCs w:val="21"/>
          <w:lang w:val="en-GB" w:eastAsia="en-US"/>
        </w:rPr>
        <w:t xml:space="preserve">the MDT configuration, then the </w:t>
      </w:r>
      <w:proofErr w:type="spellStart"/>
      <w:r w:rsidR="009B6FA5">
        <w:rPr>
          <w:rFonts w:ascii="Times New Roman" w:hAnsi="Times New Roman"/>
          <w:kern w:val="0"/>
          <w:sz w:val="20"/>
          <w:szCs w:val="21"/>
          <w:lang w:val="en-GB" w:eastAsia="en-US"/>
        </w:rPr>
        <w:t>gNB</w:t>
      </w:r>
      <w:proofErr w:type="spellEnd"/>
      <w:r w:rsidR="009B6FA5">
        <w:rPr>
          <w:rFonts w:ascii="Times New Roman" w:hAnsi="Times New Roman"/>
          <w:kern w:val="0"/>
          <w:sz w:val="20"/>
          <w:szCs w:val="21"/>
          <w:lang w:val="en-GB" w:eastAsia="en-US"/>
        </w:rPr>
        <w:t>-CU-CP can consider it to decide whether to request the MDT measurement for AI purposes.</w:t>
      </w:r>
    </w:p>
    <w:p w14:paraId="3D5FCBE1" w14:textId="6A914F9D" w:rsidR="00EF414A" w:rsidRDefault="009B6FA5" w:rsidP="00EF414A">
      <w:pPr>
        <w:spacing w:after="120"/>
        <w:rPr>
          <w:szCs w:val="21"/>
        </w:rPr>
      </w:pPr>
      <w:r>
        <w:rPr>
          <w:szCs w:val="21"/>
        </w:rPr>
        <w:t>We think both options can be further discussed.</w:t>
      </w:r>
    </w:p>
    <w:p w14:paraId="06E6867C" w14:textId="0BF3906D" w:rsidR="00B550AA" w:rsidRPr="00B550AA" w:rsidRDefault="00B550AA" w:rsidP="00EF414A">
      <w:pPr>
        <w:spacing w:after="120"/>
        <w:rPr>
          <w:b/>
          <w:szCs w:val="21"/>
        </w:rPr>
      </w:pPr>
      <w:r w:rsidRPr="00B550AA">
        <w:rPr>
          <w:b/>
          <w:szCs w:val="21"/>
        </w:rPr>
        <w:t>Proposal</w:t>
      </w:r>
      <w:r w:rsidR="00DD41D3">
        <w:rPr>
          <w:b/>
          <w:szCs w:val="21"/>
        </w:rPr>
        <w:t xml:space="preserve"> </w:t>
      </w:r>
      <w:r w:rsidR="009B6FA5">
        <w:rPr>
          <w:b/>
          <w:szCs w:val="21"/>
        </w:rPr>
        <w:t>1</w:t>
      </w:r>
      <w:r w:rsidRPr="00B550AA">
        <w:rPr>
          <w:b/>
          <w:szCs w:val="21"/>
        </w:rPr>
        <w:t xml:space="preserve">, RAN3 to </w:t>
      </w:r>
      <w:r w:rsidR="009B6FA5">
        <w:rPr>
          <w:b/>
          <w:szCs w:val="21"/>
        </w:rPr>
        <w:t xml:space="preserve">discuss how the </w:t>
      </w:r>
      <w:proofErr w:type="spellStart"/>
      <w:r w:rsidR="009B6FA5" w:rsidRPr="009B6FA5">
        <w:rPr>
          <w:b/>
          <w:szCs w:val="21"/>
        </w:rPr>
        <w:t>gNB</w:t>
      </w:r>
      <w:proofErr w:type="spellEnd"/>
      <w:r w:rsidR="009B6FA5" w:rsidRPr="009B6FA5">
        <w:rPr>
          <w:b/>
          <w:szCs w:val="21"/>
        </w:rPr>
        <w:t>-CU-CP</w:t>
      </w:r>
      <w:r w:rsidR="009B6FA5">
        <w:rPr>
          <w:b/>
          <w:szCs w:val="21"/>
        </w:rPr>
        <w:t xml:space="preserve"> obtains the MDT measurement that is directly activated to </w:t>
      </w:r>
      <w:proofErr w:type="spellStart"/>
      <w:r w:rsidR="009B6FA5">
        <w:rPr>
          <w:b/>
          <w:szCs w:val="21"/>
        </w:rPr>
        <w:t>gNB</w:t>
      </w:r>
      <w:proofErr w:type="spellEnd"/>
      <w:r w:rsidR="009B6FA5">
        <w:rPr>
          <w:b/>
          <w:szCs w:val="21"/>
        </w:rPr>
        <w:t xml:space="preserve">-DU or </w:t>
      </w:r>
      <w:proofErr w:type="spellStart"/>
      <w:r w:rsidR="009B6FA5" w:rsidRPr="00C26AB2">
        <w:rPr>
          <w:b/>
          <w:szCs w:val="21"/>
        </w:rPr>
        <w:t>gNB</w:t>
      </w:r>
      <w:proofErr w:type="spellEnd"/>
      <w:r w:rsidR="009B6FA5" w:rsidRPr="00C26AB2">
        <w:rPr>
          <w:b/>
          <w:szCs w:val="21"/>
        </w:rPr>
        <w:t>-CU-UP</w:t>
      </w:r>
      <w:r w:rsidR="009B6FA5">
        <w:rPr>
          <w:b/>
          <w:szCs w:val="21"/>
        </w:rPr>
        <w:t xml:space="preserve"> by EM.</w:t>
      </w:r>
    </w:p>
    <w:bookmarkEnd w:id="2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39E3F2C6" w:rsidR="00CD4C7B" w:rsidRDefault="00DD41D3" w:rsidP="00CD4C7B">
      <w:r>
        <w:t xml:space="preserve">In this contribution, we discussed the possible scenarios and general principle of dynamic PCI/RACH </w:t>
      </w:r>
      <w:r w:rsidRPr="00DD41D3">
        <w:t>(re)configuration</w:t>
      </w:r>
      <w:r>
        <w:t xml:space="preserve"> to minimize the interference due to the movement of mobile IAB, and we had the following observations and proposals: </w:t>
      </w:r>
    </w:p>
    <w:p w14:paraId="2E5EF8E4" w14:textId="77777777" w:rsidR="00B43212" w:rsidRDefault="00B43212" w:rsidP="00B43212">
      <w:pPr>
        <w:rPr>
          <w:b/>
          <w:szCs w:val="21"/>
        </w:rPr>
      </w:pPr>
      <w:r w:rsidRPr="00BF768D">
        <w:rPr>
          <w:b/>
          <w:szCs w:val="21"/>
        </w:rPr>
        <w:t>Observation</w:t>
      </w:r>
      <w:r>
        <w:rPr>
          <w:b/>
          <w:szCs w:val="21"/>
        </w:rPr>
        <w:t xml:space="preserve"> 1</w:t>
      </w:r>
      <w:r w:rsidRPr="00BF768D">
        <w:rPr>
          <w:b/>
          <w:szCs w:val="21"/>
        </w:rPr>
        <w:t xml:space="preserve">, </w:t>
      </w:r>
      <w:r>
        <w:rPr>
          <w:b/>
          <w:szCs w:val="21"/>
        </w:rPr>
        <w:t xml:space="preserve">EM can directly send the m-based MDT activation to </w:t>
      </w:r>
      <w:proofErr w:type="spellStart"/>
      <w:r>
        <w:rPr>
          <w:b/>
          <w:szCs w:val="21"/>
        </w:rPr>
        <w:t>gNB</w:t>
      </w:r>
      <w:proofErr w:type="spellEnd"/>
      <w:r>
        <w:rPr>
          <w:b/>
          <w:szCs w:val="21"/>
        </w:rPr>
        <w:t xml:space="preserve">-DU or </w:t>
      </w:r>
      <w:proofErr w:type="spellStart"/>
      <w:r w:rsidRPr="00C26AB2">
        <w:rPr>
          <w:b/>
          <w:szCs w:val="21"/>
        </w:rPr>
        <w:t>gNB</w:t>
      </w:r>
      <w:proofErr w:type="spellEnd"/>
      <w:r w:rsidRPr="00C26AB2">
        <w:rPr>
          <w:b/>
          <w:szCs w:val="21"/>
        </w:rPr>
        <w:t>-CU-UP</w:t>
      </w:r>
      <w:r w:rsidRPr="00B43212">
        <w:rPr>
          <w:b/>
          <w:szCs w:val="21"/>
        </w:rPr>
        <w:t xml:space="preserve"> </w:t>
      </w:r>
      <w:r>
        <w:rPr>
          <w:b/>
          <w:szCs w:val="21"/>
        </w:rPr>
        <w:t xml:space="preserve">without </w:t>
      </w:r>
      <w:proofErr w:type="spellStart"/>
      <w:r>
        <w:rPr>
          <w:b/>
          <w:szCs w:val="21"/>
        </w:rPr>
        <w:t>gNB</w:t>
      </w:r>
      <w:proofErr w:type="spellEnd"/>
      <w:r>
        <w:rPr>
          <w:b/>
          <w:szCs w:val="21"/>
        </w:rPr>
        <w:t xml:space="preserve">-CU-CP involvement, and the </w:t>
      </w:r>
      <w:proofErr w:type="spellStart"/>
      <w:r>
        <w:rPr>
          <w:b/>
          <w:szCs w:val="21"/>
        </w:rPr>
        <w:t>gNB</w:t>
      </w:r>
      <w:proofErr w:type="spellEnd"/>
      <w:r>
        <w:rPr>
          <w:b/>
          <w:szCs w:val="21"/>
        </w:rPr>
        <w:t xml:space="preserve">-DU or </w:t>
      </w:r>
      <w:proofErr w:type="spellStart"/>
      <w:r w:rsidRPr="00C26AB2">
        <w:rPr>
          <w:b/>
          <w:szCs w:val="21"/>
        </w:rPr>
        <w:t>gNB</w:t>
      </w:r>
      <w:proofErr w:type="spellEnd"/>
      <w:r w:rsidRPr="00C26AB2">
        <w:rPr>
          <w:b/>
          <w:szCs w:val="21"/>
        </w:rPr>
        <w:t>-CU-UP</w:t>
      </w:r>
      <w:r>
        <w:rPr>
          <w:b/>
          <w:szCs w:val="21"/>
        </w:rPr>
        <w:t xml:space="preserve"> can send the MDT report to TCE without </w:t>
      </w:r>
      <w:proofErr w:type="spellStart"/>
      <w:r>
        <w:rPr>
          <w:b/>
          <w:szCs w:val="21"/>
        </w:rPr>
        <w:t>gNB</w:t>
      </w:r>
      <w:proofErr w:type="spellEnd"/>
      <w:r>
        <w:rPr>
          <w:b/>
          <w:szCs w:val="21"/>
        </w:rPr>
        <w:t>-CU-CP involvement.</w:t>
      </w:r>
    </w:p>
    <w:p w14:paraId="0C7F097D" w14:textId="77777777" w:rsidR="00B43212" w:rsidRPr="00C26AB2" w:rsidRDefault="00B43212" w:rsidP="00B43212">
      <w:pPr>
        <w:rPr>
          <w:b/>
          <w:szCs w:val="21"/>
        </w:rPr>
      </w:pPr>
      <w:r>
        <w:rPr>
          <w:b/>
          <w:szCs w:val="21"/>
        </w:rPr>
        <w:t xml:space="preserve">Observation 2, the AI function in </w:t>
      </w:r>
      <w:proofErr w:type="spellStart"/>
      <w:r>
        <w:rPr>
          <w:b/>
          <w:szCs w:val="21"/>
        </w:rPr>
        <w:t>gNB</w:t>
      </w:r>
      <w:proofErr w:type="spellEnd"/>
      <w:r>
        <w:rPr>
          <w:b/>
          <w:szCs w:val="21"/>
        </w:rPr>
        <w:t xml:space="preserve">-CU-CP cannot collect the MDT measurements in </w:t>
      </w:r>
      <w:proofErr w:type="spellStart"/>
      <w:r>
        <w:rPr>
          <w:b/>
          <w:szCs w:val="21"/>
        </w:rPr>
        <w:t>gNB</w:t>
      </w:r>
      <w:proofErr w:type="spellEnd"/>
      <w:r>
        <w:rPr>
          <w:b/>
          <w:szCs w:val="21"/>
        </w:rPr>
        <w:t xml:space="preserve">-DU or </w:t>
      </w:r>
      <w:proofErr w:type="spellStart"/>
      <w:r w:rsidRPr="00C26AB2">
        <w:rPr>
          <w:b/>
          <w:szCs w:val="21"/>
        </w:rPr>
        <w:t>gNB</w:t>
      </w:r>
      <w:proofErr w:type="spellEnd"/>
      <w:r w:rsidRPr="00C26AB2">
        <w:rPr>
          <w:b/>
          <w:szCs w:val="21"/>
        </w:rPr>
        <w:t>-CU-UP</w:t>
      </w:r>
      <w:r>
        <w:rPr>
          <w:b/>
          <w:szCs w:val="21"/>
        </w:rPr>
        <w:t xml:space="preserve"> that is directly activated by EM.</w:t>
      </w:r>
    </w:p>
    <w:p w14:paraId="71641537" w14:textId="2E0C6BB8" w:rsidR="009B6FA5" w:rsidRPr="00C26AB2" w:rsidRDefault="009B6FA5" w:rsidP="009B6FA5">
      <w:pPr>
        <w:spacing w:after="120"/>
        <w:rPr>
          <w:b/>
          <w:szCs w:val="21"/>
        </w:rPr>
      </w:pPr>
      <w:r w:rsidRPr="00B550AA">
        <w:rPr>
          <w:b/>
          <w:szCs w:val="21"/>
        </w:rPr>
        <w:t>Proposal</w:t>
      </w:r>
      <w:r>
        <w:rPr>
          <w:b/>
          <w:szCs w:val="21"/>
        </w:rPr>
        <w:t xml:space="preserve"> 1</w:t>
      </w:r>
      <w:r w:rsidRPr="00B550AA">
        <w:rPr>
          <w:b/>
          <w:szCs w:val="21"/>
        </w:rPr>
        <w:t xml:space="preserve">, RAN3 to </w:t>
      </w:r>
      <w:r>
        <w:rPr>
          <w:b/>
          <w:szCs w:val="21"/>
        </w:rPr>
        <w:t xml:space="preserve">discuss how the </w:t>
      </w:r>
      <w:proofErr w:type="spellStart"/>
      <w:r w:rsidRPr="009B6FA5">
        <w:rPr>
          <w:b/>
          <w:szCs w:val="21"/>
        </w:rPr>
        <w:t>gNB</w:t>
      </w:r>
      <w:proofErr w:type="spellEnd"/>
      <w:r w:rsidRPr="009B6FA5">
        <w:rPr>
          <w:b/>
          <w:szCs w:val="21"/>
        </w:rPr>
        <w:t>-CU-CP</w:t>
      </w:r>
      <w:r>
        <w:rPr>
          <w:b/>
          <w:szCs w:val="21"/>
        </w:rPr>
        <w:t xml:space="preserve"> obtains the MDT measurement that is directly activated to </w:t>
      </w:r>
      <w:proofErr w:type="spellStart"/>
      <w:r>
        <w:rPr>
          <w:b/>
          <w:szCs w:val="21"/>
        </w:rPr>
        <w:t>gNB</w:t>
      </w:r>
      <w:proofErr w:type="spellEnd"/>
      <w:r>
        <w:rPr>
          <w:b/>
          <w:szCs w:val="21"/>
        </w:rPr>
        <w:t xml:space="preserve">-DU or </w:t>
      </w:r>
      <w:proofErr w:type="spellStart"/>
      <w:r w:rsidRPr="00C26AB2">
        <w:rPr>
          <w:b/>
          <w:szCs w:val="21"/>
        </w:rPr>
        <w:t>gNB</w:t>
      </w:r>
      <w:proofErr w:type="spellEnd"/>
      <w:r w:rsidRPr="00C26AB2">
        <w:rPr>
          <w:b/>
          <w:szCs w:val="21"/>
        </w:rPr>
        <w:t>-CU-UP</w:t>
      </w:r>
      <w:r>
        <w:rPr>
          <w:b/>
          <w:szCs w:val="21"/>
        </w:rPr>
        <w:t xml:space="preserve"> by EM.</w:t>
      </w:r>
    </w:p>
    <w:p w14:paraId="193FD945" w14:textId="41EEED5D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079C0D43" w14:textId="10209442" w:rsidR="00C95C04" w:rsidRPr="00CD4C7B" w:rsidRDefault="002546FB" w:rsidP="00C95C0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ab/>
      </w:r>
    </w:p>
    <w:p w14:paraId="0BA2BD6A" w14:textId="4085AE08" w:rsidR="00080512" w:rsidRPr="00CD4C7B" w:rsidRDefault="00080512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2138F" w14:textId="77777777" w:rsidR="00F26A09" w:rsidRDefault="00F26A09">
      <w:r>
        <w:separator/>
      </w:r>
    </w:p>
  </w:endnote>
  <w:endnote w:type="continuationSeparator" w:id="0">
    <w:p w14:paraId="7A12A583" w14:textId="77777777" w:rsidR="00F26A09" w:rsidRDefault="00F2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38E7B" w14:textId="77777777" w:rsidR="00F26A09" w:rsidRDefault="00F26A09">
      <w:r>
        <w:separator/>
      </w:r>
    </w:p>
  </w:footnote>
  <w:footnote w:type="continuationSeparator" w:id="0">
    <w:p w14:paraId="03ACAB65" w14:textId="77777777" w:rsidR="00F26A09" w:rsidRDefault="00F26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C01B19"/>
    <w:multiLevelType w:val="hybridMultilevel"/>
    <w:tmpl w:val="FD26640C"/>
    <w:lvl w:ilvl="0" w:tplc="E9F6035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2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7"/>
  </w:num>
  <w:num w:numId="11">
    <w:abstractNumId w:val="3"/>
  </w:num>
  <w:num w:numId="12">
    <w:abstractNumId w:val="10"/>
  </w:num>
  <w:num w:numId="13">
    <w:abstractNumId w:val="11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21025"/>
    <w:rsid w:val="00033397"/>
    <w:rsid w:val="000342C7"/>
    <w:rsid w:val="00040095"/>
    <w:rsid w:val="0005563E"/>
    <w:rsid w:val="00073043"/>
    <w:rsid w:val="00080512"/>
    <w:rsid w:val="00083F0D"/>
    <w:rsid w:val="00086671"/>
    <w:rsid w:val="000B7BCF"/>
    <w:rsid w:val="000C1506"/>
    <w:rsid w:val="000C556D"/>
    <w:rsid w:val="000D376D"/>
    <w:rsid w:val="000D58AB"/>
    <w:rsid w:val="000D7445"/>
    <w:rsid w:val="000E1E22"/>
    <w:rsid w:val="0010667C"/>
    <w:rsid w:val="00107326"/>
    <w:rsid w:val="001075B7"/>
    <w:rsid w:val="001265F8"/>
    <w:rsid w:val="001370F2"/>
    <w:rsid w:val="001537D2"/>
    <w:rsid w:val="001549DD"/>
    <w:rsid w:val="00161C15"/>
    <w:rsid w:val="00190CAC"/>
    <w:rsid w:val="00194CD0"/>
    <w:rsid w:val="001B08B3"/>
    <w:rsid w:val="001C4281"/>
    <w:rsid w:val="001D0D3F"/>
    <w:rsid w:val="001E39D1"/>
    <w:rsid w:val="001E6294"/>
    <w:rsid w:val="001F168B"/>
    <w:rsid w:val="001F70B7"/>
    <w:rsid w:val="00225F6D"/>
    <w:rsid w:val="0022606D"/>
    <w:rsid w:val="002305DD"/>
    <w:rsid w:val="00243BC7"/>
    <w:rsid w:val="00250D89"/>
    <w:rsid w:val="002546FB"/>
    <w:rsid w:val="002623FC"/>
    <w:rsid w:val="002747EC"/>
    <w:rsid w:val="002855BF"/>
    <w:rsid w:val="002868BC"/>
    <w:rsid w:val="002953B2"/>
    <w:rsid w:val="002D12AE"/>
    <w:rsid w:val="002E1692"/>
    <w:rsid w:val="002F0D22"/>
    <w:rsid w:val="002F5942"/>
    <w:rsid w:val="003172DC"/>
    <w:rsid w:val="003238E8"/>
    <w:rsid w:val="00326069"/>
    <w:rsid w:val="0033257D"/>
    <w:rsid w:val="00342065"/>
    <w:rsid w:val="003454FC"/>
    <w:rsid w:val="00353B12"/>
    <w:rsid w:val="0035462D"/>
    <w:rsid w:val="00363177"/>
    <w:rsid w:val="003702F7"/>
    <w:rsid w:val="003717A7"/>
    <w:rsid w:val="00385F81"/>
    <w:rsid w:val="003B3FB3"/>
    <w:rsid w:val="003B5FD6"/>
    <w:rsid w:val="003C4E37"/>
    <w:rsid w:val="003D5829"/>
    <w:rsid w:val="003E1194"/>
    <w:rsid w:val="003E16BE"/>
    <w:rsid w:val="003E7223"/>
    <w:rsid w:val="00401855"/>
    <w:rsid w:val="00406760"/>
    <w:rsid w:val="00455983"/>
    <w:rsid w:val="00464695"/>
    <w:rsid w:val="004C53DC"/>
    <w:rsid w:val="004C5539"/>
    <w:rsid w:val="004D014F"/>
    <w:rsid w:val="004D3578"/>
    <w:rsid w:val="004D380D"/>
    <w:rsid w:val="004D3F58"/>
    <w:rsid w:val="004D5E47"/>
    <w:rsid w:val="004E0173"/>
    <w:rsid w:val="004E213A"/>
    <w:rsid w:val="004E21FC"/>
    <w:rsid w:val="004E6C01"/>
    <w:rsid w:val="00503171"/>
    <w:rsid w:val="00513594"/>
    <w:rsid w:val="005153FE"/>
    <w:rsid w:val="005240A4"/>
    <w:rsid w:val="00531884"/>
    <w:rsid w:val="00531C12"/>
    <w:rsid w:val="00534DA0"/>
    <w:rsid w:val="00540B31"/>
    <w:rsid w:val="00543E6C"/>
    <w:rsid w:val="00544635"/>
    <w:rsid w:val="005626DD"/>
    <w:rsid w:val="00565087"/>
    <w:rsid w:val="0056573F"/>
    <w:rsid w:val="00565BE9"/>
    <w:rsid w:val="00571CE2"/>
    <w:rsid w:val="0057579F"/>
    <w:rsid w:val="00587958"/>
    <w:rsid w:val="005A4971"/>
    <w:rsid w:val="005B1232"/>
    <w:rsid w:val="005B2EEF"/>
    <w:rsid w:val="005D0F3B"/>
    <w:rsid w:val="005D4274"/>
    <w:rsid w:val="005E3C56"/>
    <w:rsid w:val="005F1BD4"/>
    <w:rsid w:val="00605E3E"/>
    <w:rsid w:val="00606DA9"/>
    <w:rsid w:val="00611566"/>
    <w:rsid w:val="00611D47"/>
    <w:rsid w:val="006327AD"/>
    <w:rsid w:val="006538D4"/>
    <w:rsid w:val="00656E1E"/>
    <w:rsid w:val="006604E4"/>
    <w:rsid w:val="0067782C"/>
    <w:rsid w:val="006B36A5"/>
    <w:rsid w:val="006B3E5D"/>
    <w:rsid w:val="006C54B5"/>
    <w:rsid w:val="006D1E24"/>
    <w:rsid w:val="006E79BE"/>
    <w:rsid w:val="00702BDF"/>
    <w:rsid w:val="00734A5B"/>
    <w:rsid w:val="00741EC5"/>
    <w:rsid w:val="00743525"/>
    <w:rsid w:val="00744E76"/>
    <w:rsid w:val="007476DB"/>
    <w:rsid w:val="007534EE"/>
    <w:rsid w:val="00756B13"/>
    <w:rsid w:val="00757D40"/>
    <w:rsid w:val="00767CDA"/>
    <w:rsid w:val="0077054F"/>
    <w:rsid w:val="00774846"/>
    <w:rsid w:val="00781F0F"/>
    <w:rsid w:val="0078727C"/>
    <w:rsid w:val="00797225"/>
    <w:rsid w:val="00797D4B"/>
    <w:rsid w:val="007C095F"/>
    <w:rsid w:val="007C36EF"/>
    <w:rsid w:val="007D5902"/>
    <w:rsid w:val="007F2676"/>
    <w:rsid w:val="007F3F5F"/>
    <w:rsid w:val="00800963"/>
    <w:rsid w:val="00802106"/>
    <w:rsid w:val="008028A4"/>
    <w:rsid w:val="00806520"/>
    <w:rsid w:val="008223CA"/>
    <w:rsid w:val="00830106"/>
    <w:rsid w:val="00840916"/>
    <w:rsid w:val="008415DA"/>
    <w:rsid w:val="00853EDD"/>
    <w:rsid w:val="008604EE"/>
    <w:rsid w:val="00865B05"/>
    <w:rsid w:val="0087401D"/>
    <w:rsid w:val="008768CA"/>
    <w:rsid w:val="00880559"/>
    <w:rsid w:val="00882197"/>
    <w:rsid w:val="008975A9"/>
    <w:rsid w:val="008A79DE"/>
    <w:rsid w:val="008C2835"/>
    <w:rsid w:val="008C490B"/>
    <w:rsid w:val="0090271F"/>
    <w:rsid w:val="00903D8C"/>
    <w:rsid w:val="00904D26"/>
    <w:rsid w:val="00917051"/>
    <w:rsid w:val="009321BB"/>
    <w:rsid w:val="00942EC2"/>
    <w:rsid w:val="00952D8F"/>
    <w:rsid w:val="00954BCB"/>
    <w:rsid w:val="00961B32"/>
    <w:rsid w:val="00971683"/>
    <w:rsid w:val="00972FD7"/>
    <w:rsid w:val="00974BB0"/>
    <w:rsid w:val="009A6E4F"/>
    <w:rsid w:val="009B4F59"/>
    <w:rsid w:val="009B6FA5"/>
    <w:rsid w:val="009C4D5C"/>
    <w:rsid w:val="009D0A28"/>
    <w:rsid w:val="009F3B54"/>
    <w:rsid w:val="009F75AB"/>
    <w:rsid w:val="009F7E6E"/>
    <w:rsid w:val="00A10F02"/>
    <w:rsid w:val="00A2199E"/>
    <w:rsid w:val="00A53724"/>
    <w:rsid w:val="00A61FEF"/>
    <w:rsid w:val="00A64C87"/>
    <w:rsid w:val="00A82346"/>
    <w:rsid w:val="00A8361A"/>
    <w:rsid w:val="00A8557C"/>
    <w:rsid w:val="00A9671C"/>
    <w:rsid w:val="00AB6AAB"/>
    <w:rsid w:val="00AD4BCF"/>
    <w:rsid w:val="00AF2519"/>
    <w:rsid w:val="00AF4A8E"/>
    <w:rsid w:val="00AF78D5"/>
    <w:rsid w:val="00B1063A"/>
    <w:rsid w:val="00B15449"/>
    <w:rsid w:val="00B41851"/>
    <w:rsid w:val="00B43212"/>
    <w:rsid w:val="00B503D9"/>
    <w:rsid w:val="00B550AA"/>
    <w:rsid w:val="00B6745D"/>
    <w:rsid w:val="00B9781E"/>
    <w:rsid w:val="00BA6755"/>
    <w:rsid w:val="00BD631D"/>
    <w:rsid w:val="00BF768D"/>
    <w:rsid w:val="00BF79F1"/>
    <w:rsid w:val="00C03035"/>
    <w:rsid w:val="00C26AB2"/>
    <w:rsid w:val="00C275BC"/>
    <w:rsid w:val="00C33079"/>
    <w:rsid w:val="00C365F1"/>
    <w:rsid w:val="00C43B31"/>
    <w:rsid w:val="00C50536"/>
    <w:rsid w:val="00C55EB7"/>
    <w:rsid w:val="00C671C2"/>
    <w:rsid w:val="00C866E9"/>
    <w:rsid w:val="00C95C04"/>
    <w:rsid w:val="00CA276C"/>
    <w:rsid w:val="00CA3D0C"/>
    <w:rsid w:val="00CB6651"/>
    <w:rsid w:val="00CB6887"/>
    <w:rsid w:val="00CC64B4"/>
    <w:rsid w:val="00CD4C7B"/>
    <w:rsid w:val="00D22038"/>
    <w:rsid w:val="00D23014"/>
    <w:rsid w:val="00D45717"/>
    <w:rsid w:val="00D738D6"/>
    <w:rsid w:val="00D764AE"/>
    <w:rsid w:val="00D80795"/>
    <w:rsid w:val="00D87E00"/>
    <w:rsid w:val="00D908B4"/>
    <w:rsid w:val="00D90D48"/>
    <w:rsid w:val="00D9134D"/>
    <w:rsid w:val="00D97CD9"/>
    <w:rsid w:val="00DA5329"/>
    <w:rsid w:val="00DA7A03"/>
    <w:rsid w:val="00DB1818"/>
    <w:rsid w:val="00DC1445"/>
    <w:rsid w:val="00DC309B"/>
    <w:rsid w:val="00DC4DA2"/>
    <w:rsid w:val="00DC6AFC"/>
    <w:rsid w:val="00DD2706"/>
    <w:rsid w:val="00DD41D3"/>
    <w:rsid w:val="00DE1406"/>
    <w:rsid w:val="00E06CEC"/>
    <w:rsid w:val="00E07838"/>
    <w:rsid w:val="00E305A4"/>
    <w:rsid w:val="00E31392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D0D91"/>
    <w:rsid w:val="00ED1751"/>
    <w:rsid w:val="00ED7F72"/>
    <w:rsid w:val="00EE022B"/>
    <w:rsid w:val="00EE0A1E"/>
    <w:rsid w:val="00EF2DFA"/>
    <w:rsid w:val="00EF414A"/>
    <w:rsid w:val="00EF47CB"/>
    <w:rsid w:val="00F025A2"/>
    <w:rsid w:val="00F2026E"/>
    <w:rsid w:val="00F2210A"/>
    <w:rsid w:val="00F26A09"/>
    <w:rsid w:val="00F37743"/>
    <w:rsid w:val="00F52DB4"/>
    <w:rsid w:val="00F54114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customStyle="1" w:styleId="maintext">
    <w:name w:val="main text"/>
    <w:basedOn w:val="a"/>
    <w:link w:val="maintextChar"/>
    <w:qFormat/>
    <w:rsid w:val="00073043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073043"/>
    <w:rPr>
      <w:rFonts w:eastAsia="Malgun Gothic" w:cs="Batang"/>
      <w:lang w:val="en-GB" w:eastAsia="ko-KR"/>
    </w:rPr>
  </w:style>
  <w:style w:type="paragraph" w:styleId="ab">
    <w:name w:val="Normal (Web)"/>
    <w:basedOn w:val="a"/>
    <w:uiPriority w:val="99"/>
    <w:unhideWhenUsed/>
    <w:rsid w:val="003D5829"/>
    <w:pPr>
      <w:spacing w:before="100" w:beforeAutospacing="1" w:after="100" w:afterAutospacing="1"/>
    </w:pPr>
    <w:rPr>
      <w:rFonts w:ascii="MS Mincho" w:eastAsia="MS Mincho" w:hAnsi="宋体"/>
      <w:sz w:val="24"/>
      <w:szCs w:val="22"/>
      <w:lang w:val="en-US" w:eastAsia="zh-CN"/>
    </w:rPr>
  </w:style>
  <w:style w:type="paragraph" w:styleId="ac">
    <w:name w:val="caption"/>
    <w:basedOn w:val="a"/>
    <w:next w:val="a"/>
    <w:unhideWhenUsed/>
    <w:qFormat/>
    <w:rsid w:val="001537D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242A7-58F3-4F6D-BAD7-7CD5CC2C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2022-08-09T07:15:00Z</dcterms:created>
  <dcterms:modified xsi:type="dcterms:W3CDTF">2022-08-09T08:26:00Z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